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55241E20" w:rsidR="00FB1F0C" w:rsidRDefault="00C814D6" w:rsidP="00670EB7">
      <w:pPr>
        <w:rPr>
          <w:rFonts w:ascii="Calibri" w:hAnsi="Calibri"/>
          <w:sz w:val="52"/>
          <w:szCs w:val="52"/>
        </w:rPr>
      </w:pPr>
      <w:r>
        <w:rPr>
          <w:rFonts w:ascii="Calibri" w:hAnsi="Calibri"/>
          <w:sz w:val="52"/>
          <w:szCs w:val="52"/>
        </w:rPr>
        <w:t xml:space="preserve">Readme </w:t>
      </w:r>
      <w:r w:rsidR="005269C7">
        <w:rPr>
          <w:rFonts w:ascii="Calibri" w:hAnsi="Calibri"/>
          <w:sz w:val="52"/>
          <w:szCs w:val="52"/>
        </w:rPr>
        <w:t>F</w:t>
      </w:r>
      <w:r>
        <w:rPr>
          <w:rFonts w:ascii="Calibri" w:hAnsi="Calibri"/>
          <w:sz w:val="52"/>
          <w:szCs w:val="52"/>
        </w:rPr>
        <w:t>ile for Teachers:</w:t>
      </w:r>
      <w:r>
        <w:rPr>
          <w:rFonts w:ascii="Calibri" w:hAnsi="Calibri"/>
          <w:sz w:val="52"/>
          <w:szCs w:val="52"/>
        </w:rPr>
        <w:br/>
      </w:r>
      <w:r w:rsidR="0098171E" w:rsidRPr="0098171E">
        <w:rPr>
          <w:rFonts w:ascii="Calibri" w:hAnsi="Calibri"/>
          <w:sz w:val="52"/>
          <w:szCs w:val="52"/>
        </w:rPr>
        <w:t xml:space="preserve">Case Study on </w:t>
      </w:r>
      <w:r w:rsidR="00AB2378">
        <w:rPr>
          <w:rFonts w:ascii="Calibri" w:hAnsi="Calibri"/>
          <w:sz w:val="52"/>
          <w:szCs w:val="52"/>
        </w:rPr>
        <w:t>SolarWinds Hack</w:t>
      </w:r>
    </w:p>
    <w:p w14:paraId="57993A28" w14:textId="77777777" w:rsidR="0098171E" w:rsidRDefault="0098171E" w:rsidP="0098171E">
      <w:pPr>
        <w:rPr>
          <w:sz w:val="24"/>
          <w:szCs w:val="24"/>
        </w:rPr>
      </w:pPr>
    </w:p>
    <w:p w14:paraId="63B59F86" w14:textId="17737639" w:rsidR="0098171E" w:rsidRPr="0098171E" w:rsidRDefault="0098171E" w:rsidP="0098171E">
      <w:pPr>
        <w:rPr>
          <w:rFonts w:cs="Arial"/>
          <w:sz w:val="24"/>
          <w:szCs w:val="24"/>
        </w:rPr>
      </w:pPr>
      <w:r w:rsidRPr="0098171E">
        <w:rPr>
          <w:rFonts w:cs="Arial"/>
          <w:b/>
          <w:sz w:val="24"/>
          <w:szCs w:val="24"/>
        </w:rPr>
        <w:t xml:space="preserve">Abstract: </w:t>
      </w:r>
      <w:r w:rsidRPr="0098171E">
        <w:rPr>
          <w:rFonts w:cs="Arial"/>
          <w:b/>
          <w:sz w:val="24"/>
          <w:szCs w:val="24"/>
        </w:rPr>
        <w:br/>
      </w:r>
      <w:r w:rsidRPr="0098171E">
        <w:rPr>
          <w:rFonts w:cs="Arial"/>
          <w:sz w:val="24"/>
          <w:szCs w:val="24"/>
        </w:rPr>
        <w:t xml:space="preserve">In this case study, students will look into the detail of </w:t>
      </w:r>
      <w:r w:rsidR="00AB2378">
        <w:rPr>
          <w:rFonts w:cs="Arial"/>
          <w:sz w:val="24"/>
          <w:szCs w:val="24"/>
        </w:rPr>
        <w:t xml:space="preserve">the SolarWinds supply chain </w:t>
      </w:r>
      <w:r w:rsidR="00F23ED6">
        <w:rPr>
          <w:rFonts w:cs="Arial"/>
          <w:sz w:val="24"/>
          <w:szCs w:val="24"/>
        </w:rPr>
        <w:t>attack happened in 20</w:t>
      </w:r>
      <w:r w:rsidR="00AB2378">
        <w:rPr>
          <w:rFonts w:cs="Arial"/>
          <w:sz w:val="24"/>
          <w:szCs w:val="24"/>
        </w:rPr>
        <w:t>20</w:t>
      </w:r>
      <w:r w:rsidRPr="0098171E">
        <w:rPr>
          <w:rFonts w:cs="Arial"/>
          <w:sz w:val="24"/>
          <w:szCs w:val="24"/>
        </w:rPr>
        <w:t>. Students will learn how the attack take place from the beginning to the end. During the process of case analysis, a list of security topics reflecting different aspects of the breach is introduced. Through guided in-class discussion and hands-on lab assignments, student learning in lecture will be reinforced.</w:t>
      </w:r>
    </w:p>
    <w:p w14:paraId="49B5C094" w14:textId="307D8E79" w:rsidR="0098171E" w:rsidRPr="0098171E" w:rsidRDefault="0098171E" w:rsidP="0098171E">
      <w:pPr>
        <w:rPr>
          <w:rFonts w:cs="Arial"/>
          <w:sz w:val="24"/>
          <w:szCs w:val="24"/>
        </w:rPr>
      </w:pPr>
      <w:r w:rsidRPr="0098171E">
        <w:rPr>
          <w:rFonts w:cs="Arial"/>
          <w:b/>
          <w:sz w:val="24"/>
          <w:szCs w:val="24"/>
        </w:rPr>
        <w:t xml:space="preserve">Target audience: </w:t>
      </w:r>
      <w:r w:rsidRPr="0098171E">
        <w:rPr>
          <w:rFonts w:cs="Arial"/>
          <w:b/>
          <w:sz w:val="24"/>
          <w:szCs w:val="24"/>
        </w:rPr>
        <w:br/>
      </w:r>
      <w:r w:rsidRPr="0098171E">
        <w:rPr>
          <w:rFonts w:cs="Arial"/>
          <w:sz w:val="24"/>
          <w:szCs w:val="24"/>
        </w:rPr>
        <w:t>Undergraduate, Graduate</w:t>
      </w:r>
    </w:p>
    <w:p w14:paraId="62B3B196" w14:textId="21611534" w:rsidR="00776C65" w:rsidRPr="00776C65" w:rsidRDefault="0098171E" w:rsidP="00776C65">
      <w:pPr>
        <w:rPr>
          <w:rFonts w:cs="Arial"/>
          <w:b/>
          <w:sz w:val="24"/>
          <w:szCs w:val="24"/>
        </w:rPr>
      </w:pPr>
      <w:r w:rsidRPr="00776C65">
        <w:rPr>
          <w:rFonts w:cs="Arial"/>
          <w:b/>
          <w:sz w:val="24"/>
          <w:szCs w:val="24"/>
        </w:rPr>
        <w:t xml:space="preserve">Objectives: </w:t>
      </w:r>
    </w:p>
    <w:p w14:paraId="3BA38BBD" w14:textId="77777777" w:rsidR="00AB2378" w:rsidRPr="00AB2378" w:rsidRDefault="00AB2378" w:rsidP="00AB2378">
      <w:pPr>
        <w:pStyle w:val="ListParagraph"/>
        <w:numPr>
          <w:ilvl w:val="0"/>
          <w:numId w:val="22"/>
        </w:numPr>
        <w:rPr>
          <w:rFonts w:cs="Arial"/>
          <w:sz w:val="24"/>
          <w:szCs w:val="24"/>
        </w:rPr>
      </w:pPr>
      <w:r w:rsidRPr="00AB2378">
        <w:rPr>
          <w:rFonts w:cs="Arial"/>
          <w:sz w:val="24"/>
          <w:szCs w:val="24"/>
        </w:rPr>
        <w:t>Describe the SolarWinds hack</w:t>
      </w:r>
    </w:p>
    <w:p w14:paraId="0C34A369" w14:textId="77777777" w:rsidR="00AB2378" w:rsidRPr="00AB2378" w:rsidRDefault="00AB2378" w:rsidP="00AB2378">
      <w:pPr>
        <w:pStyle w:val="ListParagraph"/>
        <w:numPr>
          <w:ilvl w:val="0"/>
          <w:numId w:val="22"/>
        </w:numPr>
        <w:rPr>
          <w:rFonts w:cs="Arial"/>
          <w:sz w:val="24"/>
          <w:szCs w:val="24"/>
        </w:rPr>
      </w:pPr>
      <w:r w:rsidRPr="00AB2378">
        <w:rPr>
          <w:rFonts w:cs="Arial"/>
          <w:sz w:val="24"/>
          <w:szCs w:val="24"/>
        </w:rPr>
        <w:t>Explain themes in supply chain security</w:t>
      </w:r>
    </w:p>
    <w:p w14:paraId="5A6DAD23" w14:textId="77777777" w:rsidR="00AB2378" w:rsidRPr="00AB2378" w:rsidRDefault="00AB2378" w:rsidP="00AB2378">
      <w:pPr>
        <w:pStyle w:val="ListParagraph"/>
        <w:numPr>
          <w:ilvl w:val="0"/>
          <w:numId w:val="22"/>
        </w:numPr>
        <w:rPr>
          <w:rFonts w:cs="Arial"/>
          <w:sz w:val="24"/>
          <w:szCs w:val="24"/>
        </w:rPr>
      </w:pPr>
      <w:r w:rsidRPr="00AB2378">
        <w:rPr>
          <w:rFonts w:cs="Arial"/>
          <w:sz w:val="24"/>
          <w:szCs w:val="24"/>
        </w:rPr>
        <w:t>Explain Advanced Persistent Threat (APT)</w:t>
      </w:r>
    </w:p>
    <w:p w14:paraId="3C98082F" w14:textId="77777777" w:rsidR="00AB2378" w:rsidRPr="00AB2378" w:rsidRDefault="00AB2378" w:rsidP="00AB2378">
      <w:pPr>
        <w:pStyle w:val="ListParagraph"/>
        <w:numPr>
          <w:ilvl w:val="0"/>
          <w:numId w:val="22"/>
        </w:numPr>
        <w:rPr>
          <w:rFonts w:cs="Arial"/>
          <w:sz w:val="24"/>
          <w:szCs w:val="24"/>
        </w:rPr>
      </w:pPr>
      <w:r w:rsidRPr="00AB2378">
        <w:rPr>
          <w:rFonts w:cs="Arial"/>
          <w:sz w:val="24"/>
          <w:szCs w:val="24"/>
        </w:rPr>
        <w:t>List common defense mechanisms against cyber attacks</w:t>
      </w:r>
    </w:p>
    <w:p w14:paraId="0275F49A" w14:textId="77777777" w:rsidR="00AB2378" w:rsidRPr="00AB2378" w:rsidRDefault="00AB2378" w:rsidP="00AB2378">
      <w:pPr>
        <w:pStyle w:val="ListParagraph"/>
        <w:numPr>
          <w:ilvl w:val="0"/>
          <w:numId w:val="22"/>
        </w:numPr>
        <w:rPr>
          <w:rFonts w:cs="Arial"/>
          <w:sz w:val="24"/>
          <w:szCs w:val="24"/>
        </w:rPr>
      </w:pPr>
      <w:r w:rsidRPr="00AB2378">
        <w:rPr>
          <w:rFonts w:cs="Arial"/>
          <w:sz w:val="24"/>
          <w:szCs w:val="24"/>
        </w:rPr>
        <w:t>Explain backdoors and how to prevent them</w:t>
      </w:r>
    </w:p>
    <w:p w14:paraId="7A104352" w14:textId="06D18544" w:rsidR="0098171E" w:rsidRPr="0098171E" w:rsidRDefault="0098171E" w:rsidP="00AB2378">
      <w:pPr>
        <w:rPr>
          <w:rFonts w:cs="Arial"/>
          <w:sz w:val="24"/>
          <w:szCs w:val="24"/>
        </w:rPr>
      </w:pPr>
      <w:r w:rsidRPr="0098171E">
        <w:rPr>
          <w:rFonts w:cs="Arial"/>
          <w:b/>
          <w:sz w:val="24"/>
          <w:szCs w:val="24"/>
        </w:rPr>
        <w:t xml:space="preserve">Keywords: </w:t>
      </w:r>
      <w:r w:rsidRPr="0098171E">
        <w:rPr>
          <w:rFonts w:cs="Arial"/>
          <w:b/>
          <w:sz w:val="24"/>
          <w:szCs w:val="24"/>
        </w:rPr>
        <w:br/>
      </w:r>
      <w:r w:rsidR="00AB2378">
        <w:rPr>
          <w:rFonts w:cs="Arial"/>
          <w:sz w:val="24"/>
          <w:szCs w:val="24"/>
        </w:rPr>
        <w:t>Supply chain security, APT attack, backdoors</w:t>
      </w:r>
    </w:p>
    <w:p w14:paraId="17F6F6C2" w14:textId="77777777" w:rsidR="00A8486B" w:rsidRPr="00A8486B" w:rsidRDefault="0098171E" w:rsidP="00A8486B">
      <w:pPr>
        <w:spacing w:after="280"/>
        <w:jc w:val="both"/>
        <w:rPr>
          <w:rFonts w:cs="Arial"/>
          <w:sz w:val="24"/>
          <w:szCs w:val="24"/>
        </w:rPr>
      </w:pPr>
      <w:r w:rsidRPr="0098171E">
        <w:rPr>
          <w:rFonts w:cs="Arial"/>
          <w:b/>
          <w:sz w:val="24"/>
          <w:szCs w:val="24"/>
        </w:rPr>
        <w:t xml:space="preserve">Description: </w:t>
      </w:r>
      <w:r w:rsidRPr="0098171E">
        <w:rPr>
          <w:rFonts w:cs="Arial"/>
          <w:b/>
          <w:sz w:val="24"/>
          <w:szCs w:val="24"/>
        </w:rPr>
        <w:br/>
      </w:r>
      <w:r w:rsidR="00A8486B" w:rsidRPr="00A8486B">
        <w:rPr>
          <w:rFonts w:cs="Arial"/>
          <w:sz w:val="24"/>
          <w:szCs w:val="24"/>
        </w:rPr>
        <w:t xml:space="preserve">This case study provides a comprehensive analysis of the sophisticated cyber-attack on SolarWinds, a major IT management software provider. The hack, attributed to Russian state-sponsored actors, involved compromising SolarWinds' Orion software updates, leading to the infiltration of numerous high-profile organizations, including U.S. federal agencies and Fortune 500 companies. The attackers gained unauthorized access by embedding a backdoor, known as SUNBURST, into the Orion platform updates, which were then distributed to SolarWinds' extensive client base. The presentation outlines the timeline of the breach, from the initial compromise in September 2019 to the public revelation and subsequent response actions in late 2020. It highlights the scale and complexity of the attack, demonstrating the </w:t>
      </w:r>
      <w:r w:rsidR="00A8486B" w:rsidRPr="00A8486B">
        <w:rPr>
          <w:rFonts w:cs="Arial"/>
          <w:sz w:val="24"/>
          <w:szCs w:val="24"/>
        </w:rPr>
        <w:lastRenderedPageBreak/>
        <w:t>vulnerabilities in software supply chains and the challenges in detecting and mitigating such advanced threats.</w:t>
      </w:r>
    </w:p>
    <w:p w14:paraId="2F8F2C7F" w14:textId="5A943FA6" w:rsidR="00A8486B" w:rsidRPr="0098171E" w:rsidRDefault="00A8486B" w:rsidP="00A8486B">
      <w:pPr>
        <w:spacing w:after="280"/>
        <w:jc w:val="both"/>
        <w:rPr>
          <w:rFonts w:cs="Arial"/>
          <w:sz w:val="24"/>
          <w:szCs w:val="24"/>
        </w:rPr>
      </w:pPr>
      <w:r w:rsidRPr="00A8486B">
        <w:rPr>
          <w:rFonts w:cs="Arial"/>
          <w:sz w:val="24"/>
          <w:szCs w:val="24"/>
        </w:rPr>
        <w:t>In addition to the incident details, the presentation emphasizes the broader implications of the SolarWinds hack for supply chain security and the evolving landscape of cyber threats. It discusses the critical role of Advanced Persistent Threats (APTs) in maintaining prolonged access and causing significant damage. The analysis extends to the defensive measures needed to combat similar attacks, including improving software development practices, enhancing threat detection capabilities, and strengthening international cybersecurity collaboration. The presentation concludes with a reflection on the lessons learned, urging organizations to adopt more robust security protocols to safeguard against future supply chain compromises.</w:t>
      </w:r>
    </w:p>
    <w:p w14:paraId="0C688689" w14:textId="77777777" w:rsidR="00AB2378" w:rsidRPr="0098171E" w:rsidRDefault="0098171E" w:rsidP="00AB2378">
      <w:pPr>
        <w:rPr>
          <w:rFonts w:cs="Arial"/>
          <w:sz w:val="24"/>
          <w:szCs w:val="24"/>
        </w:rPr>
      </w:pPr>
      <w:r w:rsidRPr="0098171E">
        <w:rPr>
          <w:rFonts w:cs="Arial"/>
          <w:b/>
          <w:sz w:val="24"/>
          <w:szCs w:val="24"/>
        </w:rPr>
        <w:t xml:space="preserve">Cybersecurity topics: </w:t>
      </w:r>
      <w:r w:rsidRPr="0098171E">
        <w:rPr>
          <w:rFonts w:cs="Arial"/>
          <w:b/>
          <w:sz w:val="24"/>
          <w:szCs w:val="24"/>
        </w:rPr>
        <w:br/>
      </w:r>
      <w:r w:rsidR="00AB2378">
        <w:rPr>
          <w:rFonts w:cs="Arial"/>
          <w:sz w:val="24"/>
          <w:szCs w:val="24"/>
        </w:rPr>
        <w:t>Supply chain security, APT attack, backdoors</w:t>
      </w:r>
    </w:p>
    <w:p w14:paraId="79BADE0F" w14:textId="20FDE640" w:rsidR="0098171E" w:rsidRPr="0098171E" w:rsidRDefault="0098171E" w:rsidP="00C814D6">
      <w:pPr>
        <w:rPr>
          <w:rFonts w:cs="Arial"/>
          <w:sz w:val="24"/>
          <w:szCs w:val="24"/>
        </w:rPr>
      </w:pPr>
      <w:r w:rsidRPr="0098171E">
        <w:rPr>
          <w:rFonts w:cs="Arial"/>
          <w:sz w:val="24"/>
          <w:szCs w:val="24"/>
        </w:rPr>
        <w:br/>
      </w:r>
      <w:r w:rsidRPr="0098171E">
        <w:rPr>
          <w:rFonts w:cs="Arial"/>
          <w:b/>
          <w:sz w:val="24"/>
          <w:szCs w:val="24"/>
        </w:rPr>
        <w:t xml:space="preserve">Teaching resources for the case: </w:t>
      </w:r>
      <w:r w:rsidRPr="0098171E">
        <w:rPr>
          <w:rFonts w:cs="Arial"/>
          <w:b/>
          <w:sz w:val="24"/>
          <w:szCs w:val="24"/>
        </w:rPr>
        <w:br/>
      </w:r>
      <w:r w:rsidRPr="0098171E">
        <w:rPr>
          <w:rFonts w:cs="Arial"/>
          <w:sz w:val="24"/>
          <w:szCs w:val="24"/>
        </w:rPr>
        <w:t>A study package with the following materials was developed for the case:</w:t>
      </w:r>
      <w:r w:rsidRPr="0098171E">
        <w:rPr>
          <w:rFonts w:cs="Arial"/>
          <w:sz w:val="24"/>
          <w:szCs w:val="24"/>
        </w:rPr>
        <w:br/>
      </w:r>
      <w:r w:rsidRPr="0098171E">
        <w:rPr>
          <w:sz w:val="24"/>
          <w:szCs w:val="24"/>
        </w:rPr>
        <w:t xml:space="preserve">a) A </w:t>
      </w:r>
      <w:r w:rsidR="00C814D6" w:rsidRPr="0098171E">
        <w:rPr>
          <w:sz w:val="24"/>
          <w:szCs w:val="24"/>
        </w:rPr>
        <w:t>PowerPoint</w:t>
      </w:r>
      <w:r w:rsidRPr="0098171E">
        <w:rPr>
          <w:sz w:val="24"/>
          <w:szCs w:val="24"/>
        </w:rPr>
        <w:t xml:space="preserve"> presentation explaining technical details and lessons learned for the case: used by the instructor to guide the classroom discussion. </w:t>
      </w:r>
      <w:r w:rsidRPr="0098171E">
        <w:rPr>
          <w:sz w:val="24"/>
          <w:szCs w:val="24"/>
        </w:rPr>
        <w:br/>
        <w:t>b) A list of discussion questions: It is suggested to ask students to finish the discussion questions before attending the in-class discussion.</w:t>
      </w:r>
      <w:r w:rsidRPr="0098171E">
        <w:rPr>
          <w:sz w:val="24"/>
          <w:szCs w:val="24"/>
        </w:rPr>
        <w:br/>
        <w:t xml:space="preserve">c) A video tutorial introducing the case: For instructors or online students. </w:t>
      </w:r>
      <w:r w:rsidRPr="0098171E">
        <w:rPr>
          <w:sz w:val="24"/>
          <w:szCs w:val="24"/>
        </w:rPr>
        <w:br/>
        <w:t>The video can also be used before the in-class discussion. Students will be asked to finish the video before attending the in-class discussion.</w:t>
      </w:r>
      <w:r w:rsidRPr="0098171E">
        <w:rPr>
          <w:sz w:val="24"/>
          <w:szCs w:val="24"/>
        </w:rPr>
        <w:br/>
      </w:r>
    </w:p>
    <w:p w14:paraId="5C8FB7F6" w14:textId="77777777" w:rsidR="00AB2378" w:rsidRPr="00AB2378" w:rsidRDefault="0098171E" w:rsidP="00AB2378">
      <w:pPr>
        <w:rPr>
          <w:rFonts w:cs="Arial"/>
          <w:sz w:val="24"/>
          <w:szCs w:val="24"/>
        </w:rPr>
      </w:pPr>
      <w:r w:rsidRPr="0098171E">
        <w:rPr>
          <w:rFonts w:cs="Arial"/>
          <w:b/>
          <w:sz w:val="24"/>
          <w:szCs w:val="24"/>
        </w:rPr>
        <w:t xml:space="preserve">Additional third-party resources for the case: </w:t>
      </w:r>
    </w:p>
    <w:p w14:paraId="40791A01" w14:textId="109142D8" w:rsidR="00AB2378" w:rsidRPr="00AB2378" w:rsidRDefault="00AB2378" w:rsidP="00AB2378">
      <w:pPr>
        <w:numPr>
          <w:ilvl w:val="0"/>
          <w:numId w:val="23"/>
        </w:numPr>
        <w:rPr>
          <w:rFonts w:cs="Arial"/>
          <w:sz w:val="24"/>
          <w:szCs w:val="24"/>
        </w:rPr>
      </w:pPr>
      <w:hyperlink r:id="rId8" w:history="1">
        <w:r w:rsidRPr="00AB2378">
          <w:rPr>
            <w:rStyle w:val="Hyperlink"/>
            <w:rFonts w:cs="Arial"/>
            <w:sz w:val="24"/>
            <w:szCs w:val="24"/>
          </w:rPr>
          <w:t>https://en.wikipedia.org/wiki/SolarWinds</w:t>
        </w:r>
      </w:hyperlink>
    </w:p>
    <w:p w14:paraId="00E77C9F" w14:textId="77777777" w:rsidR="00AB2378" w:rsidRPr="00AB2378" w:rsidRDefault="00AB2378" w:rsidP="00AB2378">
      <w:pPr>
        <w:numPr>
          <w:ilvl w:val="0"/>
          <w:numId w:val="23"/>
        </w:numPr>
        <w:rPr>
          <w:rFonts w:cs="Arial"/>
          <w:sz w:val="24"/>
          <w:szCs w:val="24"/>
        </w:rPr>
      </w:pPr>
      <w:hyperlink r:id="rId9" w:history="1">
        <w:r w:rsidRPr="00AB2378">
          <w:rPr>
            <w:rStyle w:val="Hyperlink"/>
            <w:rFonts w:cs="Arial"/>
            <w:sz w:val="24"/>
            <w:szCs w:val="24"/>
          </w:rPr>
          <w:t>https://web.archive.org/web/20201214092129/https://www.solarwinds.com/orion-platform</w:t>
        </w:r>
      </w:hyperlink>
    </w:p>
    <w:p w14:paraId="4BA49496" w14:textId="77777777" w:rsidR="00AB2378" w:rsidRPr="00AB2378" w:rsidRDefault="00AB2378" w:rsidP="00AB2378">
      <w:pPr>
        <w:numPr>
          <w:ilvl w:val="0"/>
          <w:numId w:val="23"/>
        </w:numPr>
        <w:rPr>
          <w:rFonts w:cs="Arial"/>
          <w:sz w:val="24"/>
          <w:szCs w:val="24"/>
        </w:rPr>
      </w:pPr>
      <w:hyperlink r:id="rId10" w:history="1">
        <w:r w:rsidRPr="00AB2378">
          <w:rPr>
            <w:rStyle w:val="Hyperlink"/>
            <w:rFonts w:cs="Arial"/>
            <w:sz w:val="24"/>
            <w:szCs w:val="24"/>
          </w:rPr>
          <w:t>https://www.csoonline.com/article/570191/solarwinds-supply-chain-attack-explained-why-organizations-were-not-prepared.html</w:t>
        </w:r>
      </w:hyperlink>
    </w:p>
    <w:p w14:paraId="03E51A82" w14:textId="77777777" w:rsidR="00AB2378" w:rsidRPr="00AB2378" w:rsidRDefault="00AB2378" w:rsidP="00AB2378">
      <w:pPr>
        <w:numPr>
          <w:ilvl w:val="0"/>
          <w:numId w:val="23"/>
        </w:numPr>
        <w:rPr>
          <w:rFonts w:cs="Arial"/>
          <w:sz w:val="24"/>
          <w:szCs w:val="24"/>
        </w:rPr>
      </w:pPr>
      <w:hyperlink r:id="rId11" w:history="1">
        <w:r w:rsidRPr="00AB2378">
          <w:rPr>
            <w:rStyle w:val="Hyperlink"/>
            <w:rFonts w:cs="Arial"/>
            <w:sz w:val="24"/>
            <w:szCs w:val="24"/>
          </w:rPr>
          <w:t>https://www.wired.com/story/the-untold-story-of-solarwinds-the-boldest-supply-chain-hack-ever/</w:t>
        </w:r>
      </w:hyperlink>
    </w:p>
    <w:p w14:paraId="0736AE45" w14:textId="77777777" w:rsidR="00AB2378" w:rsidRPr="00AB2378" w:rsidRDefault="00AB2378" w:rsidP="00AB2378">
      <w:pPr>
        <w:numPr>
          <w:ilvl w:val="0"/>
          <w:numId w:val="23"/>
        </w:numPr>
        <w:rPr>
          <w:rFonts w:cs="Arial"/>
          <w:sz w:val="24"/>
          <w:szCs w:val="24"/>
        </w:rPr>
      </w:pPr>
      <w:hyperlink r:id="rId12" w:history="1">
        <w:r w:rsidRPr="00AB2378">
          <w:rPr>
            <w:rStyle w:val="Hyperlink"/>
            <w:rFonts w:cs="Arial"/>
            <w:sz w:val="24"/>
            <w:szCs w:val="24"/>
          </w:rPr>
          <w:t>https://thehill.com/policy/cybersecurity/532756-us-intel-agencies-blame-russia-for-massive-solarwinds-hack/</w:t>
        </w:r>
      </w:hyperlink>
    </w:p>
    <w:p w14:paraId="57C833A7" w14:textId="77777777" w:rsidR="00AB2378" w:rsidRPr="00AB2378" w:rsidRDefault="00AB2378" w:rsidP="00AB2378">
      <w:pPr>
        <w:numPr>
          <w:ilvl w:val="0"/>
          <w:numId w:val="23"/>
        </w:numPr>
        <w:rPr>
          <w:rFonts w:cs="Arial"/>
          <w:sz w:val="24"/>
          <w:szCs w:val="24"/>
        </w:rPr>
      </w:pPr>
      <w:hyperlink r:id="rId13" w:history="1">
        <w:r w:rsidRPr="00AB2378">
          <w:rPr>
            <w:rStyle w:val="Hyperlink"/>
            <w:rFonts w:cs="Arial"/>
            <w:sz w:val="24"/>
            <w:szCs w:val="24"/>
          </w:rPr>
          <w:t>https://www.theverge.com/2021/4/15/22385371/russia-sanctions-solarwinds-biden-white-house-putin-hack</w:t>
        </w:r>
      </w:hyperlink>
    </w:p>
    <w:p w14:paraId="36727C6A" w14:textId="77777777" w:rsidR="00AB2378" w:rsidRPr="00AB2378" w:rsidRDefault="00AB2378" w:rsidP="00AB2378">
      <w:pPr>
        <w:numPr>
          <w:ilvl w:val="0"/>
          <w:numId w:val="23"/>
        </w:numPr>
        <w:rPr>
          <w:rFonts w:cs="Arial"/>
          <w:sz w:val="24"/>
          <w:szCs w:val="24"/>
        </w:rPr>
      </w:pPr>
      <w:hyperlink r:id="rId14" w:history="1">
        <w:r w:rsidRPr="00AB2378">
          <w:rPr>
            <w:rStyle w:val="Hyperlink"/>
            <w:rFonts w:cs="Arial"/>
            <w:sz w:val="24"/>
            <w:szCs w:val="24"/>
          </w:rPr>
          <w:t>https://www.whitehouse.gov/briefing-room/presidential-actions/2021/02/24/executive-order-on-americas-supply-chains/</w:t>
        </w:r>
      </w:hyperlink>
    </w:p>
    <w:p w14:paraId="10E5E5CE" w14:textId="611BB3D1" w:rsidR="0098171E" w:rsidRPr="0098171E" w:rsidRDefault="0098171E" w:rsidP="00AB2378">
      <w:pPr>
        <w:rPr>
          <w:rFonts w:cs="Arial"/>
          <w:sz w:val="24"/>
          <w:szCs w:val="24"/>
        </w:rPr>
      </w:pPr>
      <w:r w:rsidRPr="00AB2378">
        <w:rPr>
          <w:rFonts w:cs="Arial"/>
          <w:sz w:val="24"/>
          <w:szCs w:val="24"/>
        </w:rPr>
        <w:br/>
      </w:r>
      <w:r w:rsidRPr="0098171E">
        <w:rPr>
          <w:rFonts w:cs="Arial"/>
          <w:b/>
          <w:sz w:val="24"/>
          <w:szCs w:val="24"/>
        </w:rPr>
        <w:t xml:space="preserve">Language: </w:t>
      </w:r>
      <w:r w:rsidRPr="0098171E">
        <w:rPr>
          <w:rFonts w:cs="Arial"/>
          <w:b/>
          <w:sz w:val="24"/>
          <w:szCs w:val="24"/>
        </w:rPr>
        <w:br/>
      </w:r>
      <w:r w:rsidRPr="0098171E">
        <w:rPr>
          <w:rFonts w:cs="Arial"/>
          <w:sz w:val="24"/>
          <w:szCs w:val="24"/>
        </w:rPr>
        <w:t>English</w:t>
      </w:r>
    </w:p>
    <w:p w14:paraId="5EADC928" w14:textId="623E0187" w:rsidR="0098171E" w:rsidRPr="0098171E" w:rsidRDefault="0098171E" w:rsidP="0098171E">
      <w:pPr>
        <w:rPr>
          <w:rFonts w:cs="Arial"/>
          <w:sz w:val="24"/>
          <w:szCs w:val="24"/>
        </w:rPr>
      </w:pPr>
      <w:r w:rsidRPr="0098171E">
        <w:rPr>
          <w:rFonts w:cs="Arial"/>
          <w:b/>
          <w:sz w:val="24"/>
          <w:szCs w:val="24"/>
        </w:rPr>
        <w:t>Date created:</w:t>
      </w:r>
      <w:r w:rsidRPr="0098171E">
        <w:rPr>
          <w:rFonts w:cs="Arial"/>
          <w:sz w:val="24"/>
          <w:szCs w:val="24"/>
        </w:rPr>
        <w:t xml:space="preserve"> </w:t>
      </w:r>
      <w:r w:rsidRPr="0098171E">
        <w:rPr>
          <w:rFonts w:cs="Arial"/>
          <w:sz w:val="24"/>
          <w:szCs w:val="24"/>
        </w:rPr>
        <w:br/>
        <w:t>May 1, 20</w:t>
      </w:r>
      <w:r w:rsidR="0091504A">
        <w:rPr>
          <w:rFonts w:cs="Arial"/>
          <w:sz w:val="24"/>
          <w:szCs w:val="24"/>
        </w:rPr>
        <w:t>23</w:t>
      </w:r>
    </w:p>
    <w:p w14:paraId="306ABA99" w14:textId="0E65A1D0" w:rsidR="00AD2039" w:rsidRPr="0098171E" w:rsidRDefault="00AD2039" w:rsidP="00AD2039">
      <w:pPr>
        <w:rPr>
          <w:rFonts w:cs="Arial"/>
          <w:sz w:val="24"/>
          <w:szCs w:val="24"/>
        </w:rPr>
      </w:pPr>
      <w:r>
        <w:rPr>
          <w:rFonts w:cs="Arial"/>
          <w:b/>
          <w:sz w:val="24"/>
          <w:szCs w:val="24"/>
        </w:rPr>
        <w:t>Last update</w:t>
      </w:r>
      <w:r w:rsidRPr="0098171E">
        <w:rPr>
          <w:rFonts w:cs="Arial"/>
          <w:b/>
          <w:sz w:val="24"/>
          <w:szCs w:val="24"/>
        </w:rPr>
        <w:t>:</w:t>
      </w:r>
      <w:r>
        <w:rPr>
          <w:rFonts w:cs="Arial"/>
          <w:sz w:val="24"/>
          <w:szCs w:val="24"/>
        </w:rPr>
        <w:t xml:space="preserve"> </w:t>
      </w:r>
      <w:r>
        <w:rPr>
          <w:rFonts w:cs="Arial"/>
          <w:sz w:val="24"/>
          <w:szCs w:val="24"/>
        </w:rPr>
        <w:br/>
      </w:r>
      <w:r w:rsidR="0091504A">
        <w:rPr>
          <w:rFonts w:cs="Arial"/>
          <w:sz w:val="24"/>
          <w:szCs w:val="24"/>
        </w:rPr>
        <w:t>May</w:t>
      </w:r>
      <w:r>
        <w:rPr>
          <w:rFonts w:cs="Arial"/>
          <w:sz w:val="24"/>
          <w:szCs w:val="24"/>
        </w:rPr>
        <w:t xml:space="preserve"> 1, 20</w:t>
      </w:r>
      <w:r w:rsidR="0091504A">
        <w:rPr>
          <w:rFonts w:cs="Arial"/>
          <w:sz w:val="24"/>
          <w:szCs w:val="24"/>
        </w:rPr>
        <w:t>24</w:t>
      </w:r>
    </w:p>
    <w:p w14:paraId="6572F39F" w14:textId="65DF90E1" w:rsidR="00FF2FFD" w:rsidRPr="00890A1E" w:rsidRDefault="00FF2FFD" w:rsidP="0098171E">
      <w:pPr>
        <w:rPr>
          <w:rFonts w:cs="Arial"/>
          <w:sz w:val="24"/>
        </w:rPr>
      </w:pPr>
    </w:p>
    <w:sectPr w:rsidR="00FF2FFD" w:rsidRPr="00890A1E" w:rsidSect="0020324C">
      <w:footerReference w:type="default" r:id="rId15"/>
      <w:headerReference w:type="first" r:id="rId16"/>
      <w:footerReference w:type="first" r:id="rId17"/>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CBC70" w14:textId="77777777" w:rsidR="00EB0C2A" w:rsidRDefault="00EB0C2A">
      <w:r>
        <w:separator/>
      </w:r>
    </w:p>
  </w:endnote>
  <w:endnote w:type="continuationSeparator" w:id="0">
    <w:p w14:paraId="62DAE3F7" w14:textId="77777777" w:rsidR="00EB0C2A" w:rsidRDefault="00E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609C6D8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2B2526">
      <w:rPr>
        <w:rFonts w:ascii="Calibri" w:hAnsi="Calibri"/>
        <w:noProof/>
        <w:sz w:val="14"/>
      </w:rPr>
      <w:t>5</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6E37A9B"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B2526">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D201A" w14:textId="77777777" w:rsidR="00EB0C2A" w:rsidRDefault="00EB0C2A">
      <w:r>
        <w:separator/>
      </w:r>
    </w:p>
  </w:footnote>
  <w:footnote w:type="continuationSeparator" w:id="0">
    <w:p w14:paraId="230AC8DF" w14:textId="77777777" w:rsidR="00EB0C2A" w:rsidRDefault="00EB0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B0945"/>
    <w:multiLevelType w:val="hybridMultilevel"/>
    <w:tmpl w:val="8A30C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5EB5"/>
    <w:multiLevelType w:val="hybridMultilevel"/>
    <w:tmpl w:val="2F1CB13C"/>
    <w:lvl w:ilvl="0" w:tplc="CB94A7D4">
      <w:start w:val="1"/>
      <w:numFmt w:val="bullet"/>
      <w:lvlText w:val="•"/>
      <w:lvlJc w:val="left"/>
      <w:pPr>
        <w:tabs>
          <w:tab w:val="num" w:pos="720"/>
        </w:tabs>
        <w:ind w:left="720" w:hanging="360"/>
      </w:pPr>
      <w:rPr>
        <w:rFonts w:ascii="Arial" w:hAnsi="Arial" w:hint="default"/>
      </w:rPr>
    </w:lvl>
    <w:lvl w:ilvl="1" w:tplc="DC649F20" w:tentative="1">
      <w:start w:val="1"/>
      <w:numFmt w:val="bullet"/>
      <w:lvlText w:val="•"/>
      <w:lvlJc w:val="left"/>
      <w:pPr>
        <w:tabs>
          <w:tab w:val="num" w:pos="1440"/>
        </w:tabs>
        <w:ind w:left="1440" w:hanging="360"/>
      </w:pPr>
      <w:rPr>
        <w:rFonts w:ascii="Arial" w:hAnsi="Arial" w:hint="default"/>
      </w:rPr>
    </w:lvl>
    <w:lvl w:ilvl="2" w:tplc="0630C13E" w:tentative="1">
      <w:start w:val="1"/>
      <w:numFmt w:val="bullet"/>
      <w:lvlText w:val="•"/>
      <w:lvlJc w:val="left"/>
      <w:pPr>
        <w:tabs>
          <w:tab w:val="num" w:pos="2160"/>
        </w:tabs>
        <w:ind w:left="2160" w:hanging="360"/>
      </w:pPr>
      <w:rPr>
        <w:rFonts w:ascii="Arial" w:hAnsi="Arial" w:hint="default"/>
      </w:rPr>
    </w:lvl>
    <w:lvl w:ilvl="3" w:tplc="D84EA750" w:tentative="1">
      <w:start w:val="1"/>
      <w:numFmt w:val="bullet"/>
      <w:lvlText w:val="•"/>
      <w:lvlJc w:val="left"/>
      <w:pPr>
        <w:tabs>
          <w:tab w:val="num" w:pos="2880"/>
        </w:tabs>
        <w:ind w:left="2880" w:hanging="360"/>
      </w:pPr>
      <w:rPr>
        <w:rFonts w:ascii="Arial" w:hAnsi="Arial" w:hint="default"/>
      </w:rPr>
    </w:lvl>
    <w:lvl w:ilvl="4" w:tplc="33827A38" w:tentative="1">
      <w:start w:val="1"/>
      <w:numFmt w:val="bullet"/>
      <w:lvlText w:val="•"/>
      <w:lvlJc w:val="left"/>
      <w:pPr>
        <w:tabs>
          <w:tab w:val="num" w:pos="3600"/>
        </w:tabs>
        <w:ind w:left="3600" w:hanging="360"/>
      </w:pPr>
      <w:rPr>
        <w:rFonts w:ascii="Arial" w:hAnsi="Arial" w:hint="default"/>
      </w:rPr>
    </w:lvl>
    <w:lvl w:ilvl="5" w:tplc="416C517C" w:tentative="1">
      <w:start w:val="1"/>
      <w:numFmt w:val="bullet"/>
      <w:lvlText w:val="•"/>
      <w:lvlJc w:val="left"/>
      <w:pPr>
        <w:tabs>
          <w:tab w:val="num" w:pos="4320"/>
        </w:tabs>
        <w:ind w:left="4320" w:hanging="360"/>
      </w:pPr>
      <w:rPr>
        <w:rFonts w:ascii="Arial" w:hAnsi="Arial" w:hint="default"/>
      </w:rPr>
    </w:lvl>
    <w:lvl w:ilvl="6" w:tplc="6C6A7B3C" w:tentative="1">
      <w:start w:val="1"/>
      <w:numFmt w:val="bullet"/>
      <w:lvlText w:val="•"/>
      <w:lvlJc w:val="left"/>
      <w:pPr>
        <w:tabs>
          <w:tab w:val="num" w:pos="5040"/>
        </w:tabs>
        <w:ind w:left="5040" w:hanging="360"/>
      </w:pPr>
      <w:rPr>
        <w:rFonts w:ascii="Arial" w:hAnsi="Arial" w:hint="default"/>
      </w:rPr>
    </w:lvl>
    <w:lvl w:ilvl="7" w:tplc="3628E930" w:tentative="1">
      <w:start w:val="1"/>
      <w:numFmt w:val="bullet"/>
      <w:lvlText w:val="•"/>
      <w:lvlJc w:val="left"/>
      <w:pPr>
        <w:tabs>
          <w:tab w:val="num" w:pos="5760"/>
        </w:tabs>
        <w:ind w:left="5760" w:hanging="360"/>
      </w:pPr>
      <w:rPr>
        <w:rFonts w:ascii="Arial" w:hAnsi="Arial" w:hint="default"/>
      </w:rPr>
    </w:lvl>
    <w:lvl w:ilvl="8" w:tplc="668C9F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B0CC0"/>
    <w:multiLevelType w:val="hybridMultilevel"/>
    <w:tmpl w:val="C9B4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BA5DC6"/>
    <w:multiLevelType w:val="hybridMultilevel"/>
    <w:tmpl w:val="8BEC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20A4A"/>
    <w:multiLevelType w:val="hybridMultilevel"/>
    <w:tmpl w:val="F8E0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6298A"/>
    <w:multiLevelType w:val="hybridMultilevel"/>
    <w:tmpl w:val="77487E62"/>
    <w:lvl w:ilvl="0" w:tplc="05C46CD4">
      <w:start w:val="1"/>
      <w:numFmt w:val="bullet"/>
      <w:lvlText w:val="•"/>
      <w:lvlJc w:val="left"/>
      <w:pPr>
        <w:tabs>
          <w:tab w:val="num" w:pos="720"/>
        </w:tabs>
        <w:ind w:left="720" w:hanging="360"/>
      </w:pPr>
      <w:rPr>
        <w:rFonts w:ascii="Arial" w:hAnsi="Arial" w:hint="default"/>
      </w:rPr>
    </w:lvl>
    <w:lvl w:ilvl="1" w:tplc="88FA404A" w:tentative="1">
      <w:start w:val="1"/>
      <w:numFmt w:val="bullet"/>
      <w:lvlText w:val="•"/>
      <w:lvlJc w:val="left"/>
      <w:pPr>
        <w:tabs>
          <w:tab w:val="num" w:pos="1440"/>
        </w:tabs>
        <w:ind w:left="1440" w:hanging="360"/>
      </w:pPr>
      <w:rPr>
        <w:rFonts w:ascii="Arial" w:hAnsi="Arial" w:hint="default"/>
      </w:rPr>
    </w:lvl>
    <w:lvl w:ilvl="2" w:tplc="A99C62DE" w:tentative="1">
      <w:start w:val="1"/>
      <w:numFmt w:val="bullet"/>
      <w:lvlText w:val="•"/>
      <w:lvlJc w:val="left"/>
      <w:pPr>
        <w:tabs>
          <w:tab w:val="num" w:pos="2160"/>
        </w:tabs>
        <w:ind w:left="2160" w:hanging="360"/>
      </w:pPr>
      <w:rPr>
        <w:rFonts w:ascii="Arial" w:hAnsi="Arial" w:hint="default"/>
      </w:rPr>
    </w:lvl>
    <w:lvl w:ilvl="3" w:tplc="4E0A68EE" w:tentative="1">
      <w:start w:val="1"/>
      <w:numFmt w:val="bullet"/>
      <w:lvlText w:val="•"/>
      <w:lvlJc w:val="left"/>
      <w:pPr>
        <w:tabs>
          <w:tab w:val="num" w:pos="2880"/>
        </w:tabs>
        <w:ind w:left="2880" w:hanging="360"/>
      </w:pPr>
      <w:rPr>
        <w:rFonts w:ascii="Arial" w:hAnsi="Arial" w:hint="default"/>
      </w:rPr>
    </w:lvl>
    <w:lvl w:ilvl="4" w:tplc="F88CABF2" w:tentative="1">
      <w:start w:val="1"/>
      <w:numFmt w:val="bullet"/>
      <w:lvlText w:val="•"/>
      <w:lvlJc w:val="left"/>
      <w:pPr>
        <w:tabs>
          <w:tab w:val="num" w:pos="3600"/>
        </w:tabs>
        <w:ind w:left="3600" w:hanging="360"/>
      </w:pPr>
      <w:rPr>
        <w:rFonts w:ascii="Arial" w:hAnsi="Arial" w:hint="default"/>
      </w:rPr>
    </w:lvl>
    <w:lvl w:ilvl="5" w:tplc="174AF78C" w:tentative="1">
      <w:start w:val="1"/>
      <w:numFmt w:val="bullet"/>
      <w:lvlText w:val="•"/>
      <w:lvlJc w:val="left"/>
      <w:pPr>
        <w:tabs>
          <w:tab w:val="num" w:pos="4320"/>
        </w:tabs>
        <w:ind w:left="4320" w:hanging="360"/>
      </w:pPr>
      <w:rPr>
        <w:rFonts w:ascii="Arial" w:hAnsi="Arial" w:hint="default"/>
      </w:rPr>
    </w:lvl>
    <w:lvl w:ilvl="6" w:tplc="3D565ECC" w:tentative="1">
      <w:start w:val="1"/>
      <w:numFmt w:val="bullet"/>
      <w:lvlText w:val="•"/>
      <w:lvlJc w:val="left"/>
      <w:pPr>
        <w:tabs>
          <w:tab w:val="num" w:pos="5040"/>
        </w:tabs>
        <w:ind w:left="5040" w:hanging="360"/>
      </w:pPr>
      <w:rPr>
        <w:rFonts w:ascii="Arial" w:hAnsi="Arial" w:hint="default"/>
      </w:rPr>
    </w:lvl>
    <w:lvl w:ilvl="7" w:tplc="4E8CDCEE" w:tentative="1">
      <w:start w:val="1"/>
      <w:numFmt w:val="bullet"/>
      <w:lvlText w:val="•"/>
      <w:lvlJc w:val="left"/>
      <w:pPr>
        <w:tabs>
          <w:tab w:val="num" w:pos="5760"/>
        </w:tabs>
        <w:ind w:left="5760" w:hanging="360"/>
      </w:pPr>
      <w:rPr>
        <w:rFonts w:ascii="Arial" w:hAnsi="Arial" w:hint="default"/>
      </w:rPr>
    </w:lvl>
    <w:lvl w:ilvl="8" w:tplc="5714282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45DD2"/>
    <w:multiLevelType w:val="hybridMultilevel"/>
    <w:tmpl w:val="FAE6FA6C"/>
    <w:lvl w:ilvl="0" w:tplc="929C022A">
      <w:start w:val="1"/>
      <w:numFmt w:val="bullet"/>
      <w:lvlText w:val="•"/>
      <w:lvlJc w:val="left"/>
      <w:pPr>
        <w:tabs>
          <w:tab w:val="num" w:pos="720"/>
        </w:tabs>
        <w:ind w:left="720" w:hanging="360"/>
      </w:pPr>
      <w:rPr>
        <w:rFonts w:ascii="Arial" w:hAnsi="Arial" w:hint="default"/>
      </w:rPr>
    </w:lvl>
    <w:lvl w:ilvl="1" w:tplc="447CD75C" w:tentative="1">
      <w:start w:val="1"/>
      <w:numFmt w:val="bullet"/>
      <w:lvlText w:val="•"/>
      <w:lvlJc w:val="left"/>
      <w:pPr>
        <w:tabs>
          <w:tab w:val="num" w:pos="1440"/>
        </w:tabs>
        <w:ind w:left="1440" w:hanging="360"/>
      </w:pPr>
      <w:rPr>
        <w:rFonts w:ascii="Arial" w:hAnsi="Arial" w:hint="default"/>
      </w:rPr>
    </w:lvl>
    <w:lvl w:ilvl="2" w:tplc="7D8E30DC" w:tentative="1">
      <w:start w:val="1"/>
      <w:numFmt w:val="bullet"/>
      <w:lvlText w:val="•"/>
      <w:lvlJc w:val="left"/>
      <w:pPr>
        <w:tabs>
          <w:tab w:val="num" w:pos="2160"/>
        </w:tabs>
        <w:ind w:left="2160" w:hanging="360"/>
      </w:pPr>
      <w:rPr>
        <w:rFonts w:ascii="Arial" w:hAnsi="Arial" w:hint="default"/>
      </w:rPr>
    </w:lvl>
    <w:lvl w:ilvl="3" w:tplc="E43C75E4" w:tentative="1">
      <w:start w:val="1"/>
      <w:numFmt w:val="bullet"/>
      <w:lvlText w:val="•"/>
      <w:lvlJc w:val="left"/>
      <w:pPr>
        <w:tabs>
          <w:tab w:val="num" w:pos="2880"/>
        </w:tabs>
        <w:ind w:left="2880" w:hanging="360"/>
      </w:pPr>
      <w:rPr>
        <w:rFonts w:ascii="Arial" w:hAnsi="Arial" w:hint="default"/>
      </w:rPr>
    </w:lvl>
    <w:lvl w:ilvl="4" w:tplc="4154B0E2" w:tentative="1">
      <w:start w:val="1"/>
      <w:numFmt w:val="bullet"/>
      <w:lvlText w:val="•"/>
      <w:lvlJc w:val="left"/>
      <w:pPr>
        <w:tabs>
          <w:tab w:val="num" w:pos="3600"/>
        </w:tabs>
        <w:ind w:left="3600" w:hanging="360"/>
      </w:pPr>
      <w:rPr>
        <w:rFonts w:ascii="Arial" w:hAnsi="Arial" w:hint="default"/>
      </w:rPr>
    </w:lvl>
    <w:lvl w:ilvl="5" w:tplc="5AF4C5FE" w:tentative="1">
      <w:start w:val="1"/>
      <w:numFmt w:val="bullet"/>
      <w:lvlText w:val="•"/>
      <w:lvlJc w:val="left"/>
      <w:pPr>
        <w:tabs>
          <w:tab w:val="num" w:pos="4320"/>
        </w:tabs>
        <w:ind w:left="4320" w:hanging="360"/>
      </w:pPr>
      <w:rPr>
        <w:rFonts w:ascii="Arial" w:hAnsi="Arial" w:hint="default"/>
      </w:rPr>
    </w:lvl>
    <w:lvl w:ilvl="6" w:tplc="448AEFB8" w:tentative="1">
      <w:start w:val="1"/>
      <w:numFmt w:val="bullet"/>
      <w:lvlText w:val="•"/>
      <w:lvlJc w:val="left"/>
      <w:pPr>
        <w:tabs>
          <w:tab w:val="num" w:pos="5040"/>
        </w:tabs>
        <w:ind w:left="5040" w:hanging="360"/>
      </w:pPr>
      <w:rPr>
        <w:rFonts w:ascii="Arial" w:hAnsi="Arial" w:hint="default"/>
      </w:rPr>
    </w:lvl>
    <w:lvl w:ilvl="7" w:tplc="ED6E3B02" w:tentative="1">
      <w:start w:val="1"/>
      <w:numFmt w:val="bullet"/>
      <w:lvlText w:val="•"/>
      <w:lvlJc w:val="left"/>
      <w:pPr>
        <w:tabs>
          <w:tab w:val="num" w:pos="5760"/>
        </w:tabs>
        <w:ind w:left="5760" w:hanging="360"/>
      </w:pPr>
      <w:rPr>
        <w:rFonts w:ascii="Arial" w:hAnsi="Arial" w:hint="default"/>
      </w:rPr>
    </w:lvl>
    <w:lvl w:ilvl="8" w:tplc="15666ED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20"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18298">
    <w:abstractNumId w:val="5"/>
  </w:num>
  <w:num w:numId="2" w16cid:durableId="534273041">
    <w:abstractNumId w:val="3"/>
  </w:num>
  <w:num w:numId="3" w16cid:durableId="679697598">
    <w:abstractNumId w:val="14"/>
  </w:num>
  <w:num w:numId="4" w16cid:durableId="1904294763">
    <w:abstractNumId w:val="20"/>
  </w:num>
  <w:num w:numId="5" w16cid:durableId="724795267">
    <w:abstractNumId w:val="17"/>
  </w:num>
  <w:num w:numId="6" w16cid:durableId="949161958">
    <w:abstractNumId w:val="16"/>
  </w:num>
  <w:num w:numId="7" w16cid:durableId="1011569352">
    <w:abstractNumId w:val="20"/>
  </w:num>
  <w:num w:numId="8" w16cid:durableId="2017027652">
    <w:abstractNumId w:val="6"/>
  </w:num>
  <w:num w:numId="9" w16cid:durableId="1650357729">
    <w:abstractNumId w:val="15"/>
  </w:num>
  <w:num w:numId="10" w16cid:durableId="434595798">
    <w:abstractNumId w:val="21"/>
  </w:num>
  <w:num w:numId="11" w16cid:durableId="379597687">
    <w:abstractNumId w:val="13"/>
  </w:num>
  <w:num w:numId="12" w16cid:durableId="1818066268">
    <w:abstractNumId w:val="10"/>
  </w:num>
  <w:num w:numId="13" w16cid:durableId="1434204685">
    <w:abstractNumId w:val="19"/>
  </w:num>
  <w:num w:numId="14" w16cid:durableId="1885168301">
    <w:abstractNumId w:val="12"/>
  </w:num>
  <w:num w:numId="15" w16cid:durableId="1189024800">
    <w:abstractNumId w:val="9"/>
  </w:num>
  <w:num w:numId="16" w16cid:durableId="2052999732">
    <w:abstractNumId w:val="2"/>
  </w:num>
  <w:num w:numId="17" w16cid:durableId="1091270029">
    <w:abstractNumId w:val="8"/>
  </w:num>
  <w:num w:numId="18" w16cid:durableId="2140024867">
    <w:abstractNumId w:val="11"/>
  </w:num>
  <w:num w:numId="19" w16cid:durableId="1242328873">
    <w:abstractNumId w:val="7"/>
  </w:num>
  <w:num w:numId="20" w16cid:durableId="184249105">
    <w:abstractNumId w:val="4"/>
  </w:num>
  <w:num w:numId="21" w16cid:durableId="1515681179">
    <w:abstractNumId w:val="18"/>
  </w:num>
  <w:num w:numId="22" w16cid:durableId="1932272111">
    <w:abstractNumId w:val="0"/>
  </w:num>
  <w:num w:numId="23" w16cid:durableId="931619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xtDQ2sDA3MjdS0lEKTi0uzszPAykwqgUAiTSRBiwAAAA="/>
  </w:docVars>
  <w:rsids>
    <w:rsidRoot w:val="002B4A7C"/>
    <w:rsid w:val="00001EE4"/>
    <w:rsid w:val="00006B32"/>
    <w:rsid w:val="00010706"/>
    <w:rsid w:val="00026CEE"/>
    <w:rsid w:val="00061C39"/>
    <w:rsid w:val="000A4BDE"/>
    <w:rsid w:val="000B2874"/>
    <w:rsid w:val="000D462B"/>
    <w:rsid w:val="000F42AF"/>
    <w:rsid w:val="00101C4F"/>
    <w:rsid w:val="001170AD"/>
    <w:rsid w:val="00117962"/>
    <w:rsid w:val="00124A8E"/>
    <w:rsid w:val="00127133"/>
    <w:rsid w:val="001316A7"/>
    <w:rsid w:val="001439B6"/>
    <w:rsid w:val="00165679"/>
    <w:rsid w:val="00172310"/>
    <w:rsid w:val="00183CD0"/>
    <w:rsid w:val="00196157"/>
    <w:rsid w:val="001D1D00"/>
    <w:rsid w:val="001E2718"/>
    <w:rsid w:val="001E68C2"/>
    <w:rsid w:val="0020324C"/>
    <w:rsid w:val="0021171F"/>
    <w:rsid w:val="002241E5"/>
    <w:rsid w:val="002908CF"/>
    <w:rsid w:val="002B214D"/>
    <w:rsid w:val="002B2526"/>
    <w:rsid w:val="002B4A7C"/>
    <w:rsid w:val="002C2FB3"/>
    <w:rsid w:val="002C4B43"/>
    <w:rsid w:val="002C5E0D"/>
    <w:rsid w:val="002D0FD1"/>
    <w:rsid w:val="002E7E76"/>
    <w:rsid w:val="002F2CEF"/>
    <w:rsid w:val="00313533"/>
    <w:rsid w:val="00322D69"/>
    <w:rsid w:val="0032640A"/>
    <w:rsid w:val="00347B71"/>
    <w:rsid w:val="0035234F"/>
    <w:rsid w:val="00361AC3"/>
    <w:rsid w:val="0037476D"/>
    <w:rsid w:val="00390A1D"/>
    <w:rsid w:val="00393B98"/>
    <w:rsid w:val="003A0183"/>
    <w:rsid w:val="003B5D29"/>
    <w:rsid w:val="003C4E7E"/>
    <w:rsid w:val="003C57A9"/>
    <w:rsid w:val="003D3085"/>
    <w:rsid w:val="003F0115"/>
    <w:rsid w:val="004065AA"/>
    <w:rsid w:val="00417C5F"/>
    <w:rsid w:val="00425DBC"/>
    <w:rsid w:val="0044495B"/>
    <w:rsid w:val="00444A21"/>
    <w:rsid w:val="004462CE"/>
    <w:rsid w:val="00461699"/>
    <w:rsid w:val="00495FFB"/>
    <w:rsid w:val="004A08AC"/>
    <w:rsid w:val="004B2427"/>
    <w:rsid w:val="004B4E03"/>
    <w:rsid w:val="004C4F82"/>
    <w:rsid w:val="004D2447"/>
    <w:rsid w:val="0051152D"/>
    <w:rsid w:val="005269C7"/>
    <w:rsid w:val="00542609"/>
    <w:rsid w:val="005660CE"/>
    <w:rsid w:val="0056726F"/>
    <w:rsid w:val="005812A2"/>
    <w:rsid w:val="005B1B27"/>
    <w:rsid w:val="005B7108"/>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76C65"/>
    <w:rsid w:val="00786720"/>
    <w:rsid w:val="007A6E5D"/>
    <w:rsid w:val="007B228A"/>
    <w:rsid w:val="007B5098"/>
    <w:rsid w:val="00813F35"/>
    <w:rsid w:val="0082069B"/>
    <w:rsid w:val="008308D9"/>
    <w:rsid w:val="00830CEE"/>
    <w:rsid w:val="0083412B"/>
    <w:rsid w:val="00834B23"/>
    <w:rsid w:val="0083569E"/>
    <w:rsid w:val="00890A1E"/>
    <w:rsid w:val="00893583"/>
    <w:rsid w:val="00896AD1"/>
    <w:rsid w:val="008C4705"/>
    <w:rsid w:val="008C58C3"/>
    <w:rsid w:val="008C72D2"/>
    <w:rsid w:val="008C7E92"/>
    <w:rsid w:val="008D4659"/>
    <w:rsid w:val="008D5430"/>
    <w:rsid w:val="0091159D"/>
    <w:rsid w:val="0091504A"/>
    <w:rsid w:val="0092482E"/>
    <w:rsid w:val="0094351C"/>
    <w:rsid w:val="00960CF0"/>
    <w:rsid w:val="00960E64"/>
    <w:rsid w:val="0096282C"/>
    <w:rsid w:val="00976A1B"/>
    <w:rsid w:val="0098171E"/>
    <w:rsid w:val="009B1E23"/>
    <w:rsid w:val="009B7391"/>
    <w:rsid w:val="009D3079"/>
    <w:rsid w:val="009F53BD"/>
    <w:rsid w:val="00A04CE9"/>
    <w:rsid w:val="00A07179"/>
    <w:rsid w:val="00A2619B"/>
    <w:rsid w:val="00A47FA0"/>
    <w:rsid w:val="00A517CC"/>
    <w:rsid w:val="00A54AC2"/>
    <w:rsid w:val="00A565F1"/>
    <w:rsid w:val="00A6657A"/>
    <w:rsid w:val="00A71863"/>
    <w:rsid w:val="00A771A0"/>
    <w:rsid w:val="00A7799E"/>
    <w:rsid w:val="00A8073D"/>
    <w:rsid w:val="00A8486B"/>
    <w:rsid w:val="00A865E9"/>
    <w:rsid w:val="00A919DD"/>
    <w:rsid w:val="00AA2CEE"/>
    <w:rsid w:val="00AB2378"/>
    <w:rsid w:val="00AB70D0"/>
    <w:rsid w:val="00AC15C9"/>
    <w:rsid w:val="00AD2039"/>
    <w:rsid w:val="00AE0BE4"/>
    <w:rsid w:val="00AE7A60"/>
    <w:rsid w:val="00AF605B"/>
    <w:rsid w:val="00B00B7E"/>
    <w:rsid w:val="00B05EA8"/>
    <w:rsid w:val="00B10FD5"/>
    <w:rsid w:val="00B11EB6"/>
    <w:rsid w:val="00B2177F"/>
    <w:rsid w:val="00B32B71"/>
    <w:rsid w:val="00B61FC5"/>
    <w:rsid w:val="00B6670B"/>
    <w:rsid w:val="00B71E53"/>
    <w:rsid w:val="00B73B3A"/>
    <w:rsid w:val="00B83A3A"/>
    <w:rsid w:val="00B92860"/>
    <w:rsid w:val="00B9597F"/>
    <w:rsid w:val="00BA6B8E"/>
    <w:rsid w:val="00BC3835"/>
    <w:rsid w:val="00BD78BB"/>
    <w:rsid w:val="00BF607D"/>
    <w:rsid w:val="00C27DAD"/>
    <w:rsid w:val="00C3548E"/>
    <w:rsid w:val="00C73A68"/>
    <w:rsid w:val="00C814D6"/>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44AA6"/>
    <w:rsid w:val="00D52A77"/>
    <w:rsid w:val="00D65113"/>
    <w:rsid w:val="00D81A7B"/>
    <w:rsid w:val="00D94BDC"/>
    <w:rsid w:val="00DB4BE3"/>
    <w:rsid w:val="00DC0C38"/>
    <w:rsid w:val="00DC3E38"/>
    <w:rsid w:val="00DE418E"/>
    <w:rsid w:val="00DF0566"/>
    <w:rsid w:val="00DF2652"/>
    <w:rsid w:val="00E14B3B"/>
    <w:rsid w:val="00E26847"/>
    <w:rsid w:val="00E314A3"/>
    <w:rsid w:val="00E34C6D"/>
    <w:rsid w:val="00E421A2"/>
    <w:rsid w:val="00E464EC"/>
    <w:rsid w:val="00E56E50"/>
    <w:rsid w:val="00E61161"/>
    <w:rsid w:val="00EB0C2A"/>
    <w:rsid w:val="00EB4C8E"/>
    <w:rsid w:val="00EB596B"/>
    <w:rsid w:val="00EB5F36"/>
    <w:rsid w:val="00EC4225"/>
    <w:rsid w:val="00ED15F0"/>
    <w:rsid w:val="00ED5158"/>
    <w:rsid w:val="00ED65F5"/>
    <w:rsid w:val="00EE1317"/>
    <w:rsid w:val="00EF0449"/>
    <w:rsid w:val="00EF5D80"/>
    <w:rsid w:val="00EF6846"/>
    <w:rsid w:val="00F053D6"/>
    <w:rsid w:val="00F23ED6"/>
    <w:rsid w:val="00F3004F"/>
    <w:rsid w:val="00F54EBD"/>
    <w:rsid w:val="00F602E5"/>
    <w:rsid w:val="00F652FA"/>
    <w:rsid w:val="00F961A8"/>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 w:type="character" w:styleId="UnresolvedMention">
    <w:name w:val="Unresolved Mention"/>
    <w:basedOn w:val="DefaultParagraphFont"/>
    <w:uiPriority w:val="99"/>
    <w:semiHidden/>
    <w:unhideWhenUsed/>
    <w:rsid w:val="00AB2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33166077">
      <w:bodyDiv w:val="1"/>
      <w:marLeft w:val="0"/>
      <w:marRight w:val="0"/>
      <w:marTop w:val="0"/>
      <w:marBottom w:val="0"/>
      <w:divBdr>
        <w:top w:val="none" w:sz="0" w:space="0" w:color="auto"/>
        <w:left w:val="none" w:sz="0" w:space="0" w:color="auto"/>
        <w:bottom w:val="none" w:sz="0" w:space="0" w:color="auto"/>
        <w:right w:val="none" w:sz="0" w:space="0" w:color="auto"/>
      </w:divBdr>
      <w:divsChild>
        <w:div w:id="428283330">
          <w:marLeft w:val="720"/>
          <w:marRight w:val="0"/>
          <w:marTop w:val="72"/>
          <w:marBottom w:val="0"/>
          <w:divBdr>
            <w:top w:val="none" w:sz="0" w:space="0" w:color="auto"/>
            <w:left w:val="none" w:sz="0" w:space="0" w:color="auto"/>
            <w:bottom w:val="none" w:sz="0" w:space="0" w:color="auto"/>
            <w:right w:val="none" w:sz="0" w:space="0" w:color="auto"/>
          </w:divBdr>
        </w:div>
        <w:div w:id="601033431">
          <w:marLeft w:val="720"/>
          <w:marRight w:val="0"/>
          <w:marTop w:val="0"/>
          <w:marBottom w:val="0"/>
          <w:divBdr>
            <w:top w:val="none" w:sz="0" w:space="0" w:color="auto"/>
            <w:left w:val="none" w:sz="0" w:space="0" w:color="auto"/>
            <w:bottom w:val="none" w:sz="0" w:space="0" w:color="auto"/>
            <w:right w:val="none" w:sz="0" w:space="0" w:color="auto"/>
          </w:divBdr>
        </w:div>
        <w:div w:id="387342746">
          <w:marLeft w:val="720"/>
          <w:marRight w:val="0"/>
          <w:marTop w:val="0"/>
          <w:marBottom w:val="0"/>
          <w:divBdr>
            <w:top w:val="none" w:sz="0" w:space="0" w:color="auto"/>
            <w:left w:val="none" w:sz="0" w:space="0" w:color="auto"/>
            <w:bottom w:val="none" w:sz="0" w:space="0" w:color="auto"/>
            <w:right w:val="none" w:sz="0" w:space="0" w:color="auto"/>
          </w:divBdr>
        </w:div>
        <w:div w:id="474641579">
          <w:marLeft w:val="720"/>
          <w:marRight w:val="0"/>
          <w:marTop w:val="0"/>
          <w:marBottom w:val="0"/>
          <w:divBdr>
            <w:top w:val="none" w:sz="0" w:space="0" w:color="auto"/>
            <w:left w:val="none" w:sz="0" w:space="0" w:color="auto"/>
            <w:bottom w:val="none" w:sz="0" w:space="0" w:color="auto"/>
            <w:right w:val="none" w:sz="0" w:space="0" w:color="auto"/>
          </w:divBdr>
        </w:div>
        <w:div w:id="873470571">
          <w:marLeft w:val="720"/>
          <w:marRight w:val="0"/>
          <w:marTop w:val="0"/>
          <w:marBottom w:val="0"/>
          <w:divBdr>
            <w:top w:val="none" w:sz="0" w:space="0" w:color="auto"/>
            <w:left w:val="none" w:sz="0" w:space="0" w:color="auto"/>
            <w:bottom w:val="none" w:sz="0" w:space="0" w:color="auto"/>
            <w:right w:val="none" w:sz="0" w:space="0" w:color="auto"/>
          </w:divBdr>
        </w:div>
        <w:div w:id="1740589360">
          <w:marLeft w:val="720"/>
          <w:marRight w:val="0"/>
          <w:marTop w:val="0"/>
          <w:marBottom w:val="0"/>
          <w:divBdr>
            <w:top w:val="none" w:sz="0" w:space="0" w:color="auto"/>
            <w:left w:val="none" w:sz="0" w:space="0" w:color="auto"/>
            <w:bottom w:val="none" w:sz="0" w:space="0" w:color="auto"/>
            <w:right w:val="none" w:sz="0" w:space="0" w:color="auto"/>
          </w:divBdr>
        </w:div>
        <w:div w:id="1354724065">
          <w:marLeft w:val="720"/>
          <w:marRight w:val="0"/>
          <w:marTop w:val="0"/>
          <w:marBottom w:val="0"/>
          <w:divBdr>
            <w:top w:val="none" w:sz="0" w:space="0" w:color="auto"/>
            <w:left w:val="none" w:sz="0" w:space="0" w:color="auto"/>
            <w:bottom w:val="none" w:sz="0" w:space="0" w:color="auto"/>
            <w:right w:val="none" w:sz="0" w:space="0" w:color="auto"/>
          </w:divBdr>
        </w:div>
      </w:divsChild>
    </w:div>
    <w:div w:id="1471440868">
      <w:bodyDiv w:val="1"/>
      <w:marLeft w:val="0"/>
      <w:marRight w:val="0"/>
      <w:marTop w:val="0"/>
      <w:marBottom w:val="0"/>
      <w:divBdr>
        <w:top w:val="none" w:sz="0" w:space="0" w:color="auto"/>
        <w:left w:val="none" w:sz="0" w:space="0" w:color="auto"/>
        <w:bottom w:val="none" w:sz="0" w:space="0" w:color="auto"/>
        <w:right w:val="none" w:sz="0" w:space="0" w:color="auto"/>
      </w:divBdr>
      <w:divsChild>
        <w:div w:id="2019262103">
          <w:marLeft w:val="720"/>
          <w:marRight w:val="0"/>
          <w:marTop w:val="128"/>
          <w:marBottom w:val="0"/>
          <w:divBdr>
            <w:top w:val="none" w:sz="0" w:space="0" w:color="auto"/>
            <w:left w:val="none" w:sz="0" w:space="0" w:color="auto"/>
            <w:bottom w:val="none" w:sz="0" w:space="0" w:color="auto"/>
            <w:right w:val="none" w:sz="0" w:space="0" w:color="auto"/>
          </w:divBdr>
        </w:div>
        <w:div w:id="1240821176">
          <w:marLeft w:val="720"/>
          <w:marRight w:val="0"/>
          <w:marTop w:val="128"/>
          <w:marBottom w:val="0"/>
          <w:divBdr>
            <w:top w:val="none" w:sz="0" w:space="0" w:color="auto"/>
            <w:left w:val="none" w:sz="0" w:space="0" w:color="auto"/>
            <w:bottom w:val="none" w:sz="0" w:space="0" w:color="auto"/>
            <w:right w:val="none" w:sz="0" w:space="0" w:color="auto"/>
          </w:divBdr>
        </w:div>
      </w:divsChild>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021469255">
      <w:bodyDiv w:val="1"/>
      <w:marLeft w:val="0"/>
      <w:marRight w:val="0"/>
      <w:marTop w:val="0"/>
      <w:marBottom w:val="0"/>
      <w:divBdr>
        <w:top w:val="none" w:sz="0" w:space="0" w:color="auto"/>
        <w:left w:val="none" w:sz="0" w:space="0" w:color="auto"/>
        <w:bottom w:val="none" w:sz="0" w:space="0" w:color="auto"/>
        <w:right w:val="none" w:sz="0" w:space="0" w:color="auto"/>
      </w:divBdr>
      <w:divsChild>
        <w:div w:id="1972588140">
          <w:marLeft w:val="547"/>
          <w:marRight w:val="0"/>
          <w:marTop w:val="0"/>
          <w:marBottom w:val="0"/>
          <w:divBdr>
            <w:top w:val="none" w:sz="0" w:space="0" w:color="auto"/>
            <w:left w:val="none" w:sz="0" w:space="0" w:color="auto"/>
            <w:bottom w:val="none" w:sz="0" w:space="0" w:color="auto"/>
            <w:right w:val="none" w:sz="0" w:space="0" w:color="auto"/>
          </w:divBdr>
        </w:div>
        <w:div w:id="1491487436">
          <w:marLeft w:val="547"/>
          <w:marRight w:val="0"/>
          <w:marTop w:val="0"/>
          <w:marBottom w:val="0"/>
          <w:divBdr>
            <w:top w:val="none" w:sz="0" w:space="0" w:color="auto"/>
            <w:left w:val="none" w:sz="0" w:space="0" w:color="auto"/>
            <w:bottom w:val="none" w:sz="0" w:space="0" w:color="auto"/>
            <w:right w:val="none" w:sz="0" w:space="0" w:color="auto"/>
          </w:divBdr>
        </w:div>
        <w:div w:id="1436288012">
          <w:marLeft w:val="547"/>
          <w:marRight w:val="0"/>
          <w:marTop w:val="0"/>
          <w:marBottom w:val="0"/>
          <w:divBdr>
            <w:top w:val="none" w:sz="0" w:space="0" w:color="auto"/>
            <w:left w:val="none" w:sz="0" w:space="0" w:color="auto"/>
            <w:bottom w:val="none" w:sz="0" w:space="0" w:color="auto"/>
            <w:right w:val="none" w:sz="0" w:space="0" w:color="auto"/>
          </w:divBdr>
        </w:div>
        <w:div w:id="2117211414">
          <w:marLeft w:val="547"/>
          <w:marRight w:val="0"/>
          <w:marTop w:val="0"/>
          <w:marBottom w:val="0"/>
          <w:divBdr>
            <w:top w:val="none" w:sz="0" w:space="0" w:color="auto"/>
            <w:left w:val="none" w:sz="0" w:space="0" w:color="auto"/>
            <w:bottom w:val="none" w:sz="0" w:space="0" w:color="auto"/>
            <w:right w:val="none" w:sz="0" w:space="0" w:color="auto"/>
          </w:divBdr>
        </w:div>
      </w:divsChild>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olarWinds" TargetMode="External"/><Relationship Id="rId13" Type="http://schemas.openxmlformats.org/officeDocument/2006/relationships/hyperlink" Target="https://www.theverge.com/2021/4/15/22385371/russia-sanctions-solarwinds-biden-white-house-putin-hac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ehill.com/policy/cybersecurity/532756-us-intel-agencies-blame-russia-for-massive-solarwinds-hac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red.com/story/the-untold-story-of-solarwinds-the-boldest-supply-chain-hack-ev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soonline.com/article/570191/solarwinds-supply-chain-attack-explained-why-organizations-were-not-prepared.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archive.org/web/20201214092129/https:/www.solarwinds.com/orion-platform" TargetMode="External"/><Relationship Id="rId14" Type="http://schemas.openxmlformats.org/officeDocument/2006/relationships/hyperlink" Target="https://www.whitehouse.gov/briefing-room/presidential-actions/2021/02/24/executive-order-on-americas-supply-chains/"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7F83-D080-4AFF-B51F-13A0A2B7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42</TotalTime>
  <Pages>3</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19</cp:revision>
  <dcterms:created xsi:type="dcterms:W3CDTF">2017-08-18T19:42:00Z</dcterms:created>
  <dcterms:modified xsi:type="dcterms:W3CDTF">2024-06-10T20:41:00Z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